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578B" w14:textId="007E32F2" w:rsidR="00B01F3A" w:rsidRDefault="00B01F3A" w:rsidP="00B01F3A">
      <w:pPr>
        <w:rPr>
          <w:rFonts w:ascii="Avenir Next LT Pro" w:hAnsi="Avenir Next LT Pro"/>
          <w:color w:val="000000"/>
        </w:rPr>
      </w:pPr>
      <w:r>
        <w:rPr>
          <w:noProof/>
        </w:rPr>
        <w:drawing>
          <wp:anchor distT="0" distB="0" distL="114300" distR="114300" simplePos="0" relativeHeight="251659264" behindDoc="0" locked="0" layoutInCell="1" allowOverlap="1" wp14:anchorId="3A1DAA10" wp14:editId="66A5C4DD">
            <wp:simplePos x="0" y="0"/>
            <wp:positionH relativeFrom="column">
              <wp:posOffset>-177800</wp:posOffset>
            </wp:positionH>
            <wp:positionV relativeFrom="paragraph">
              <wp:posOffset>-95250</wp:posOffset>
            </wp:positionV>
            <wp:extent cx="3409950" cy="1343025"/>
            <wp:effectExtent l="0" t="0" r="0" b="9525"/>
            <wp:wrapSquare wrapText="bothSides"/>
            <wp:docPr id="591012966" name="Picture 2" descr="A logo for a coffee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ffee sh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Avenir Next LT Pro" w:hAnsi="Avenir Next LT Pro"/>
          <w:color w:val="000000"/>
        </w:rPr>
        <w:t xml:space="preserve">Unfortunately, ZOOM was not cooperating and would not let me record today’s </w:t>
      </w:r>
      <w:proofErr w:type="spellStart"/>
      <w:r>
        <w:rPr>
          <w:rFonts w:ascii="Avenir Next LT Pro" w:hAnsi="Avenir Next LT Pro"/>
          <w:color w:val="000000"/>
        </w:rPr>
        <w:t>impt</w:t>
      </w:r>
      <w:proofErr w:type="spellEnd"/>
      <w:r>
        <w:rPr>
          <w:rFonts w:ascii="Avenir Next LT Pro" w:hAnsi="Avenir Next LT Pro"/>
          <w:color w:val="000000"/>
        </w:rPr>
        <w:t xml:space="preserve"> discussion during the Externship Coffee &amp; Convo 30-minute phone call. </w:t>
      </w:r>
    </w:p>
    <w:p w14:paraId="321C1BDB" w14:textId="77777777" w:rsidR="00B01F3A" w:rsidRDefault="00B01F3A" w:rsidP="00B01F3A">
      <w:pPr>
        <w:rPr>
          <w:rFonts w:ascii="Avenir Next LT Pro" w:hAnsi="Avenir Next LT Pro"/>
          <w:color w:val="000000"/>
        </w:rPr>
      </w:pPr>
    </w:p>
    <w:p w14:paraId="7B656869" w14:textId="77777777" w:rsidR="00B01F3A" w:rsidRDefault="00B01F3A" w:rsidP="00B01F3A">
      <w:pPr>
        <w:rPr>
          <w:rFonts w:ascii="Avenir Next LT Pro" w:hAnsi="Avenir Next LT Pro"/>
          <w:b/>
          <w:bCs/>
          <w:color w:val="000000"/>
          <w:u w:val="single"/>
        </w:rPr>
      </w:pPr>
      <w:r>
        <w:rPr>
          <w:rFonts w:ascii="Avenir Next LT Pro" w:hAnsi="Avenir Next LT Pro"/>
          <w:b/>
          <w:bCs/>
          <w:color w:val="000000"/>
          <w:u w:val="single"/>
        </w:rPr>
        <w:t>Standard Preceptor Agreement (SPA)</w:t>
      </w:r>
    </w:p>
    <w:p w14:paraId="7C638BC3" w14:textId="77777777" w:rsidR="00B01F3A" w:rsidRDefault="00B01F3A" w:rsidP="00B01F3A">
      <w:pPr>
        <w:rPr>
          <w:rFonts w:ascii="Avenir Next LT Pro" w:hAnsi="Avenir Next LT Pro"/>
          <w:color w:val="000000"/>
        </w:rPr>
      </w:pPr>
      <w:r>
        <w:rPr>
          <w:rFonts w:ascii="Avenir Next LT Pro" w:hAnsi="Avenir Next LT Pro"/>
          <w:color w:val="000000"/>
        </w:rPr>
        <w:t xml:space="preserve">The conversation mainly focused on the need for a clear definition of a standard preceptor agreement, as required by IHL for schools to document. </w:t>
      </w:r>
    </w:p>
    <w:p w14:paraId="11F5AF5B" w14:textId="77777777" w:rsidR="00B01F3A" w:rsidRDefault="00B01F3A" w:rsidP="00B01F3A">
      <w:pPr>
        <w:rPr>
          <w:rFonts w:ascii="Avenir Next LT Pro" w:hAnsi="Avenir Next LT Pro"/>
          <w:color w:val="000000"/>
        </w:rPr>
      </w:pPr>
    </w:p>
    <w:p w14:paraId="1954DEBF" w14:textId="77777777" w:rsidR="00B01F3A" w:rsidRDefault="00B01F3A" w:rsidP="00B01F3A">
      <w:pPr>
        <w:rPr>
          <w:rFonts w:ascii="Avenir Next LT Pro" w:hAnsi="Avenir Next LT Pro"/>
          <w:color w:val="000000"/>
        </w:rPr>
      </w:pPr>
      <w:r>
        <w:rPr>
          <w:rFonts w:ascii="Avenir Next LT Pro" w:hAnsi="Avenir Next LT Pro"/>
          <w:color w:val="000000"/>
        </w:rPr>
        <w:t xml:space="preserve">Some students do ask their hospital employer to complete a SPA and have it returned to their SON; others do not. We need to investigate this further and have a standard for the externship </w:t>
      </w:r>
      <w:proofErr w:type="gramStart"/>
      <w:r>
        <w:rPr>
          <w:rFonts w:ascii="Avenir Next LT Pro" w:hAnsi="Avenir Next LT Pro"/>
          <w:color w:val="000000"/>
        </w:rPr>
        <w:t>program as a whole</w:t>
      </w:r>
      <w:proofErr w:type="gramEnd"/>
      <w:r>
        <w:rPr>
          <w:rFonts w:ascii="Avenir Next LT Pro" w:hAnsi="Avenir Next LT Pro"/>
          <w:color w:val="000000"/>
        </w:rPr>
        <w:t xml:space="preserve">. </w:t>
      </w:r>
    </w:p>
    <w:p w14:paraId="67F21110" w14:textId="77777777" w:rsidR="00B01F3A" w:rsidRDefault="00B01F3A" w:rsidP="00B01F3A">
      <w:pPr>
        <w:rPr>
          <w:rFonts w:ascii="Avenir Next LT Pro" w:hAnsi="Avenir Next LT Pro"/>
          <w:color w:val="000000"/>
        </w:rPr>
      </w:pPr>
    </w:p>
    <w:p w14:paraId="4C857E2F" w14:textId="77777777" w:rsidR="00B01F3A" w:rsidRDefault="00B01F3A" w:rsidP="00B01F3A">
      <w:pPr>
        <w:rPr>
          <w:rFonts w:ascii="Avenir Next LT Pro" w:hAnsi="Avenir Next LT Pro"/>
          <w:color w:val="000000"/>
        </w:rPr>
      </w:pPr>
      <w:r>
        <w:rPr>
          <w:rFonts w:ascii="Avenir Next LT Pro" w:hAnsi="Avenir Next LT Pro"/>
          <w:color w:val="000000"/>
        </w:rPr>
        <w:t xml:space="preserve">L Thweatt, Director of ADN at Northwest MS Comm Coll has provided the information below and the attached template.  She has discussed this with Dr. Temple at IHL. The Committee did circulate this question in the past </w:t>
      </w:r>
      <w:proofErr w:type="gramStart"/>
      <w:r>
        <w:rPr>
          <w:rFonts w:ascii="Avenir Next LT Pro" w:hAnsi="Avenir Next LT Pro"/>
          <w:color w:val="000000"/>
        </w:rPr>
        <w:t>month</w:t>
      </w:r>
      <w:proofErr w:type="gramEnd"/>
      <w:r>
        <w:rPr>
          <w:rFonts w:ascii="Avenir Next LT Pro" w:hAnsi="Avenir Next LT Pro"/>
          <w:color w:val="000000"/>
        </w:rPr>
        <w:t xml:space="preserve"> but this matter will be discussed at the ’25 planning committee meeting. At that time, a procedure will be decided upon and put in place. </w:t>
      </w:r>
    </w:p>
    <w:p w14:paraId="3846B614" w14:textId="77777777" w:rsidR="00B01F3A" w:rsidRDefault="00B01F3A" w:rsidP="00B01F3A">
      <w:pPr>
        <w:rPr>
          <w:rFonts w:ascii="Avenir Next LT Pro" w:hAnsi="Avenir Next LT Pro"/>
          <w:color w:val="000000"/>
        </w:rPr>
      </w:pPr>
    </w:p>
    <w:p w14:paraId="0BC3F16A" w14:textId="77777777" w:rsidR="00B01F3A" w:rsidRDefault="00B01F3A" w:rsidP="00B01F3A">
      <w:pPr>
        <w:rPr>
          <w:rFonts w:ascii="Avenir Next LT Pro" w:hAnsi="Avenir Next LT Pro"/>
          <w:b/>
          <w:bCs/>
          <w:color w:val="000000"/>
          <w:u w:val="single"/>
        </w:rPr>
      </w:pPr>
      <w:r>
        <w:rPr>
          <w:rFonts w:ascii="Avenir Next LT Pro" w:hAnsi="Avenir Next LT Pro"/>
          <w:b/>
          <w:bCs/>
          <w:color w:val="000000"/>
          <w:u w:val="single"/>
        </w:rPr>
        <w:t xml:space="preserve">Preceptor Degree Requirement </w:t>
      </w:r>
    </w:p>
    <w:p w14:paraId="7711224E" w14:textId="77777777" w:rsidR="00B01F3A" w:rsidRDefault="00B01F3A" w:rsidP="00B01F3A">
      <w:pPr>
        <w:rPr>
          <w:rFonts w:ascii="Avenir Next LT Pro" w:hAnsi="Avenir Next LT Pro"/>
          <w:color w:val="000000"/>
        </w:rPr>
      </w:pPr>
      <w:r>
        <w:rPr>
          <w:rFonts w:ascii="Avenir Next LT Pro" w:hAnsi="Avenir Next LT Pro"/>
          <w:color w:val="000000"/>
        </w:rPr>
        <w:t xml:space="preserve">L Holmes, Forrest General, asked if the attached IHL preceptor exception had now become permanent. I told her I thought it had but needed </w:t>
      </w:r>
      <w:r>
        <w:rPr>
          <w:rFonts w:ascii="Avenir Next LT Pro" w:hAnsi="Avenir Next LT Pro"/>
          <w:b/>
          <w:bCs/>
          <w:color w:val="000000"/>
        </w:rPr>
        <w:t>LaNelle</w:t>
      </w:r>
      <w:r>
        <w:rPr>
          <w:rFonts w:ascii="Avenir Next LT Pro" w:hAnsi="Avenir Next LT Pro"/>
          <w:color w:val="000000"/>
        </w:rPr>
        <w:t xml:space="preserve"> to confirm. (LaNelle, please advise.) </w:t>
      </w:r>
    </w:p>
    <w:p w14:paraId="675E1061" w14:textId="77777777" w:rsidR="00B01F3A" w:rsidRDefault="00B01F3A" w:rsidP="00B01F3A">
      <w:pPr>
        <w:rPr>
          <w:rFonts w:ascii="Avenir Next LT Pro" w:hAnsi="Avenir Next LT Pro"/>
          <w:color w:val="000000"/>
        </w:rPr>
      </w:pPr>
    </w:p>
    <w:p w14:paraId="1EA757CB" w14:textId="77777777" w:rsidR="00B01F3A" w:rsidRDefault="00B01F3A" w:rsidP="00B01F3A">
      <w:pPr>
        <w:rPr>
          <w:rFonts w:ascii="Avenir Next LT Pro" w:hAnsi="Avenir Next LT Pro"/>
          <w:b/>
          <w:bCs/>
          <w:color w:val="000000"/>
          <w:u w:val="single"/>
        </w:rPr>
      </w:pPr>
      <w:r>
        <w:rPr>
          <w:rFonts w:ascii="Avenir Next LT Pro" w:hAnsi="Avenir Next LT Pro"/>
          <w:b/>
          <w:bCs/>
          <w:color w:val="000000"/>
          <w:u w:val="single"/>
        </w:rPr>
        <w:t>Externship Success Story</w:t>
      </w:r>
    </w:p>
    <w:p w14:paraId="14DFD892" w14:textId="77777777" w:rsidR="00B01F3A" w:rsidRDefault="00B01F3A" w:rsidP="00B01F3A">
      <w:pPr>
        <w:rPr>
          <w:rFonts w:ascii="Avenir Next LT Pro" w:hAnsi="Avenir Next LT Pro"/>
          <w:color w:val="000000"/>
        </w:rPr>
      </w:pPr>
      <w:r>
        <w:rPr>
          <w:rFonts w:ascii="Avenir Next LT Pro" w:hAnsi="Avenir Next LT Pro"/>
          <w:color w:val="000000"/>
        </w:rPr>
        <w:t xml:space="preserve">She also reported that she has a previous extern who is now precepting externs. Linda will see if she can acquire a photo of them so that MHA can market this successful domino fall! This is how this wonderful program works! </w:t>
      </w:r>
    </w:p>
    <w:p w14:paraId="6A841A00" w14:textId="77777777" w:rsidR="00B01F3A" w:rsidRDefault="00B01F3A" w:rsidP="00B01F3A">
      <w:pPr>
        <w:rPr>
          <w:rFonts w:ascii="Avenir Next LT Pro" w:hAnsi="Avenir Next LT Pro"/>
          <w:color w:val="000000"/>
        </w:rPr>
      </w:pPr>
    </w:p>
    <w:p w14:paraId="68E65E58" w14:textId="77777777" w:rsidR="00B01F3A" w:rsidRDefault="00B01F3A" w:rsidP="00B01F3A">
      <w:pPr>
        <w:rPr>
          <w:rFonts w:ascii="Avenir Next LT Pro" w:hAnsi="Avenir Next LT Pro"/>
          <w:color w:val="000000"/>
        </w:rPr>
      </w:pPr>
      <w:r>
        <w:rPr>
          <w:rFonts w:ascii="Avenir Next LT Pro" w:hAnsi="Avenir Next LT Pro"/>
          <w:color w:val="000000"/>
        </w:rPr>
        <w:t xml:space="preserve">Today’s call was attended by – </w:t>
      </w:r>
    </w:p>
    <w:p w14:paraId="68BE48D5" w14:textId="77777777" w:rsidR="00B01F3A" w:rsidRDefault="00B01F3A" w:rsidP="00B01F3A">
      <w:pPr>
        <w:pStyle w:val="ListParagraph"/>
        <w:numPr>
          <w:ilvl w:val="0"/>
          <w:numId w:val="1"/>
        </w:numPr>
        <w:contextualSpacing w:val="0"/>
        <w:rPr>
          <w:rFonts w:ascii="Avenir Next LT Pro" w:eastAsia="Times New Roman" w:hAnsi="Avenir Next LT Pro"/>
          <w:color w:val="000000"/>
        </w:rPr>
      </w:pPr>
      <w:r>
        <w:rPr>
          <w:rFonts w:ascii="Avenir Next LT Pro" w:eastAsia="Times New Roman" w:hAnsi="Avenir Next LT Pro"/>
          <w:color w:val="000000"/>
        </w:rPr>
        <w:t>L Thweatt – NW MS Comm Coll</w:t>
      </w:r>
    </w:p>
    <w:p w14:paraId="66FCFEAD" w14:textId="77777777" w:rsidR="00B01F3A" w:rsidRDefault="00B01F3A" w:rsidP="00B01F3A">
      <w:pPr>
        <w:pStyle w:val="ListParagraph"/>
        <w:numPr>
          <w:ilvl w:val="0"/>
          <w:numId w:val="1"/>
        </w:numPr>
        <w:contextualSpacing w:val="0"/>
        <w:rPr>
          <w:rFonts w:ascii="Avenir Next LT Pro" w:eastAsia="Times New Roman" w:hAnsi="Avenir Next LT Pro"/>
          <w:color w:val="000000"/>
        </w:rPr>
      </w:pPr>
      <w:r>
        <w:rPr>
          <w:rFonts w:ascii="Avenir Next LT Pro" w:eastAsia="Times New Roman" w:hAnsi="Avenir Next LT Pro"/>
          <w:color w:val="000000"/>
        </w:rPr>
        <w:t>L Holmes – Forrest Gen</w:t>
      </w:r>
    </w:p>
    <w:p w14:paraId="12C310E3" w14:textId="77777777" w:rsidR="00B01F3A" w:rsidRDefault="00B01F3A" w:rsidP="00B01F3A">
      <w:pPr>
        <w:pStyle w:val="ListParagraph"/>
        <w:numPr>
          <w:ilvl w:val="0"/>
          <w:numId w:val="1"/>
        </w:numPr>
        <w:contextualSpacing w:val="0"/>
        <w:rPr>
          <w:rFonts w:ascii="Avenir Next LT Pro" w:eastAsia="Times New Roman" w:hAnsi="Avenir Next LT Pro"/>
          <w:color w:val="000000"/>
        </w:rPr>
      </w:pPr>
      <w:r>
        <w:rPr>
          <w:rFonts w:ascii="Avenir Next LT Pro" w:eastAsia="Times New Roman" w:hAnsi="Avenir Next LT Pro"/>
          <w:color w:val="000000"/>
        </w:rPr>
        <w:t>E Dupree – MBMC</w:t>
      </w:r>
      <w:r>
        <w:rPr>
          <w:rFonts w:ascii="Avenir Next LT Pro" w:eastAsia="Times New Roman" w:hAnsi="Avenir Next LT Pro"/>
          <w:color w:val="000000"/>
        </w:rPr>
        <w:br/>
        <w:t>M Mejia – Memorial Health Sys</w:t>
      </w:r>
    </w:p>
    <w:p w14:paraId="606B865E" w14:textId="77777777" w:rsidR="00B01F3A" w:rsidRDefault="00B01F3A" w:rsidP="00B01F3A">
      <w:pPr>
        <w:rPr>
          <w:rFonts w:ascii="Avenir Next LT Pro" w:hAnsi="Avenir Next LT Pro"/>
          <w:color w:val="000000"/>
        </w:rPr>
      </w:pPr>
    </w:p>
    <w:p w14:paraId="180E9CF1" w14:textId="77777777" w:rsidR="00B01F3A" w:rsidRDefault="00B01F3A" w:rsidP="00B01F3A">
      <w:pPr>
        <w:rPr>
          <w:rFonts w:ascii="Avenir Next LT Pro" w:hAnsi="Avenir Next LT Pro"/>
          <w:color w:val="000000"/>
        </w:rPr>
      </w:pPr>
    </w:p>
    <w:p w14:paraId="03A78666" w14:textId="77777777" w:rsidR="00B01F3A" w:rsidRDefault="00B01F3A" w:rsidP="00B01F3A">
      <w:pPr>
        <w:rPr>
          <w:rFonts w:ascii="Avenir Next LT Pro" w:hAnsi="Avenir Next LT Pro"/>
          <w:color w:val="000000"/>
        </w:rPr>
      </w:pPr>
      <w:proofErr w:type="spellStart"/>
      <w:r>
        <w:rPr>
          <w:rFonts w:ascii="Avenir Next LT Pro" w:hAnsi="Avenir Next LT Pro"/>
          <w:color w:val="000000"/>
        </w:rPr>
        <w:t>rp</w:t>
      </w:r>
      <w:proofErr w:type="spellEnd"/>
    </w:p>
    <w:p w14:paraId="4CDB970C" w14:textId="77777777" w:rsidR="00B01F3A" w:rsidRDefault="00B01F3A" w:rsidP="00B01F3A">
      <w:pPr>
        <w:rPr>
          <w:rFonts w:ascii="Avenir Next LT Pro" w:hAnsi="Avenir Next LT Pro"/>
          <w:color w:val="000000"/>
        </w:rPr>
      </w:pPr>
    </w:p>
    <w:p w14:paraId="1F3E96B5" w14:textId="286BF232" w:rsidR="00B01F3A" w:rsidRDefault="00B01F3A">
      <w:pPr>
        <w:spacing w:after="160" w:line="278" w:lineRule="auto"/>
        <w:rPr>
          <w:rFonts w:ascii="Avenir Next LT Pro" w:hAnsi="Avenir Next LT Pro"/>
          <w:color w:val="000000"/>
        </w:rPr>
      </w:pPr>
      <w:r>
        <w:rPr>
          <w:rFonts w:ascii="Avenir Next LT Pro" w:hAnsi="Avenir Next LT Pro"/>
          <w:color w:val="000000"/>
        </w:rPr>
        <w:br w:type="page"/>
      </w:r>
    </w:p>
    <w:p w14:paraId="5037289A" w14:textId="77777777" w:rsidR="00B01F3A" w:rsidRDefault="00B01F3A" w:rsidP="00B01F3A">
      <w:pPr>
        <w:rPr>
          <w:rFonts w:ascii="Avenir Next LT Pro" w:hAnsi="Avenir Next LT Pro"/>
          <w:color w:val="000000"/>
        </w:rPr>
      </w:pPr>
    </w:p>
    <w:p w14:paraId="3F284E15" w14:textId="77777777" w:rsidR="00B01F3A" w:rsidRDefault="00B01F3A" w:rsidP="00B01F3A">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Lesley Thweatt &lt;</w:t>
      </w:r>
      <w:hyperlink r:id="rId6" w:history="1">
        <w:r>
          <w:rPr>
            <w:rStyle w:val="Hyperlink"/>
            <w:rFonts w:ascii="Calibri" w:hAnsi="Calibri" w:cs="Calibri"/>
            <w:sz w:val="22"/>
            <w:szCs w:val="22"/>
          </w:rPr>
          <w:t>LThweatt@Northwestms.edu</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June 11, 2024 2:04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Robin Powell &lt;</w:t>
      </w:r>
      <w:hyperlink r:id="rId7" w:history="1">
        <w:r>
          <w:rPr>
            <w:rStyle w:val="Hyperlink"/>
            <w:rFonts w:ascii="Calibri" w:hAnsi="Calibri" w:cs="Calibri"/>
            <w:sz w:val="22"/>
            <w:szCs w:val="22"/>
          </w:rPr>
          <w:t>rpowell@mhanet.org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[EXTERNAL]Preceptor Agreement </w:t>
      </w:r>
    </w:p>
    <w:p w14:paraId="08485B8A" w14:textId="77777777" w:rsidR="00B01F3A" w:rsidRDefault="00B01F3A" w:rsidP="00B01F3A"/>
    <w:p w14:paraId="5AEC83CA" w14:textId="77777777" w:rsidR="00B01F3A" w:rsidRDefault="00B01F3A" w:rsidP="00B01F3A">
      <w:pPr>
        <w:rPr>
          <w:color w:val="000000"/>
        </w:rPr>
      </w:pPr>
      <w:r>
        <w:rPr>
          <w:color w:val="000000"/>
        </w:rPr>
        <w:t>Robin, </w:t>
      </w:r>
    </w:p>
    <w:p w14:paraId="3E88C13D" w14:textId="77777777" w:rsidR="00B01F3A" w:rsidRDefault="00B01F3A" w:rsidP="00B01F3A">
      <w:pPr>
        <w:rPr>
          <w:color w:val="000000"/>
        </w:rPr>
      </w:pPr>
      <w:r>
        <w:rPr>
          <w:color w:val="000000"/>
        </w:rPr>
        <w:br/>
        <w:t xml:space="preserve">I have attached a copy of the Preceptor Agreement created this summer to capture required documentation for Preceptors per the </w:t>
      </w:r>
      <w:hyperlink r:id="rId8" w:history="1">
        <w:r>
          <w:rPr>
            <w:rStyle w:val="Hyperlink"/>
          </w:rPr>
          <w:t>http://www.mississippi.edu/nursing/downloads/procedure_manual_231116.pdf</w:t>
        </w:r>
      </w:hyperlink>
      <w:r>
        <w:rPr>
          <w:color w:val="000000"/>
        </w:rPr>
        <w:t> </w:t>
      </w:r>
    </w:p>
    <w:p w14:paraId="1F6A075F" w14:textId="77777777" w:rsidR="00B01F3A" w:rsidRDefault="00B01F3A" w:rsidP="00B01F3A">
      <w:pPr>
        <w:rPr>
          <w:color w:val="000000"/>
        </w:rPr>
      </w:pPr>
      <w:r>
        <w:rPr>
          <w:color w:val="000000"/>
        </w:rPr>
        <w:br/>
        <w:t>Required Documentation for Preceptors </w:t>
      </w:r>
    </w:p>
    <w:p w14:paraId="41A9828E" w14:textId="77777777" w:rsidR="00B01F3A" w:rsidRDefault="00B01F3A" w:rsidP="00B01F3A">
      <w:pPr>
        <w:rPr>
          <w:color w:val="000000"/>
        </w:rPr>
      </w:pPr>
      <w:r>
        <w:rPr>
          <w:color w:val="000000"/>
        </w:rPr>
        <w:t>1. Education verification </w:t>
      </w:r>
    </w:p>
    <w:p w14:paraId="1F026086" w14:textId="77777777" w:rsidR="00B01F3A" w:rsidRDefault="00B01F3A" w:rsidP="00B01F3A">
      <w:pPr>
        <w:rPr>
          <w:color w:val="000000"/>
        </w:rPr>
      </w:pPr>
      <w:r>
        <w:rPr>
          <w:color w:val="000000"/>
        </w:rPr>
        <w:t>2. Clinical experience verification </w:t>
      </w:r>
    </w:p>
    <w:p w14:paraId="393DAD7A" w14:textId="77777777" w:rsidR="00B01F3A" w:rsidRDefault="00B01F3A" w:rsidP="00B01F3A">
      <w:pPr>
        <w:rPr>
          <w:color w:val="000000"/>
        </w:rPr>
      </w:pPr>
      <w:r>
        <w:rPr>
          <w:color w:val="000000"/>
        </w:rPr>
        <w:t>3. R.N. License &amp; Advanced Practice RN License, if appropriate </w:t>
      </w:r>
    </w:p>
    <w:p w14:paraId="0E34EF06" w14:textId="77777777" w:rsidR="00B01F3A" w:rsidRDefault="00B01F3A" w:rsidP="00B01F3A">
      <w:pPr>
        <w:rPr>
          <w:color w:val="000000"/>
        </w:rPr>
      </w:pPr>
      <w:r>
        <w:rPr>
          <w:color w:val="000000"/>
        </w:rPr>
        <w:t>4. Certification (i.e. Role Specific – FNP, PMHNP, GNP, etc.)</w:t>
      </w:r>
    </w:p>
    <w:p w14:paraId="1FC27A85" w14:textId="77777777" w:rsidR="00B01F3A" w:rsidRDefault="00B01F3A" w:rsidP="00B01F3A">
      <w:pPr>
        <w:rPr>
          <w:color w:val="000000"/>
        </w:rPr>
      </w:pPr>
    </w:p>
    <w:p w14:paraId="02E302C8" w14:textId="77777777" w:rsidR="00B01F3A" w:rsidRDefault="00B01F3A" w:rsidP="00B01F3A">
      <w:pPr>
        <w:rPr>
          <w:color w:val="000000"/>
        </w:rPr>
      </w:pPr>
      <w:r>
        <w:rPr>
          <w:color w:val="000000"/>
        </w:rPr>
        <w:t>Thank you,</w:t>
      </w:r>
    </w:p>
    <w:p w14:paraId="59EE6A8D" w14:textId="77777777" w:rsidR="00B01F3A" w:rsidRDefault="00B01F3A" w:rsidP="00B01F3A">
      <w:pPr>
        <w:rPr>
          <w:color w:val="000000"/>
        </w:rPr>
      </w:pPr>
      <w:r>
        <w:rPr>
          <w:color w:val="000000"/>
        </w:rPr>
        <w:t>Lesley</w:t>
      </w:r>
    </w:p>
    <w:p w14:paraId="2A7A9066" w14:textId="77777777" w:rsidR="00B01F3A" w:rsidRDefault="00B01F3A" w:rsidP="00B01F3A">
      <w:pPr>
        <w:pStyle w:val="NormalWeb"/>
        <w:shd w:val="clear" w:color="auto" w:fill="FFFFFF"/>
        <w:rPr>
          <w:color w:val="000000"/>
        </w:rPr>
      </w:pPr>
    </w:p>
    <w:p w14:paraId="3B02561F" w14:textId="77777777" w:rsidR="00B01F3A" w:rsidRDefault="00B01F3A" w:rsidP="00B01F3A">
      <w:pPr>
        <w:pStyle w:val="NormalWeb"/>
        <w:shd w:val="clear" w:color="auto" w:fill="FFFFFF"/>
        <w:rPr>
          <w:rFonts w:ascii="Calibri" w:hAnsi="Calibri" w:cs="Calibri"/>
          <w:color w:val="242424"/>
          <w:sz w:val="22"/>
          <w:szCs w:val="22"/>
        </w:rPr>
      </w:pPr>
    </w:p>
    <w:p w14:paraId="63AEBE86" w14:textId="451690EC" w:rsidR="00B01F3A" w:rsidRDefault="00B01F3A" w:rsidP="00B01F3A">
      <w:pPr>
        <w:pStyle w:val="NormalWeb"/>
        <w:shd w:val="clear" w:color="auto" w:fill="FFFFFF"/>
      </w:pPr>
      <w:r>
        <w:rPr>
          <w:rFonts w:ascii="Calibri" w:hAnsi="Calibri" w:cs="Calibri"/>
          <w:noProof/>
          <w:color w:val="242424"/>
          <w:sz w:val="22"/>
          <w:szCs w:val="22"/>
        </w:rPr>
        <w:drawing>
          <wp:inline distT="0" distB="0" distL="0" distR="0" wp14:anchorId="1F120061" wp14:editId="5D6BBA8D">
            <wp:extent cx="1971675" cy="523875"/>
            <wp:effectExtent l="0" t="0" r="9525" b="9525"/>
            <wp:docPr id="10882055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05529" name="Picture 1" descr="A close up of a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71675" cy="523875"/>
                    </a:xfrm>
                    <a:prstGeom prst="rect">
                      <a:avLst/>
                    </a:prstGeom>
                    <a:noFill/>
                    <a:ln>
                      <a:noFill/>
                    </a:ln>
                  </pic:spPr>
                </pic:pic>
              </a:graphicData>
            </a:graphic>
          </wp:inline>
        </w:drawing>
      </w:r>
    </w:p>
    <w:p w14:paraId="41CFFDA9"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b/>
          <w:bCs/>
          <w:color w:val="242424"/>
          <w:sz w:val="22"/>
          <w:szCs w:val="22"/>
        </w:rPr>
        <w:t> </w:t>
      </w:r>
    </w:p>
    <w:p w14:paraId="63431435" w14:textId="77777777" w:rsidR="00B01F3A" w:rsidRDefault="00B01F3A" w:rsidP="00B01F3A">
      <w:pPr>
        <w:pStyle w:val="NormalWeb"/>
        <w:shd w:val="clear" w:color="auto" w:fill="FFFFFF"/>
        <w:rPr>
          <w:rFonts w:ascii="Calibri" w:hAnsi="Calibri" w:cs="Calibri"/>
          <w:color w:val="242424"/>
          <w:sz w:val="22"/>
          <w:szCs w:val="22"/>
        </w:rPr>
      </w:pPr>
      <w:r>
        <w:rPr>
          <w:rFonts w:ascii="Arial" w:hAnsi="Arial" w:cs="Arial"/>
          <w:b/>
          <w:bCs/>
          <w:color w:val="242424"/>
          <w:sz w:val="22"/>
          <w:szCs w:val="22"/>
        </w:rPr>
        <w:t>Lesley Thweatt, MSN, RN, CNE</w:t>
      </w:r>
    </w:p>
    <w:p w14:paraId="1F6B30F6" w14:textId="77777777" w:rsidR="00B01F3A" w:rsidRDefault="00B01F3A" w:rsidP="00B01F3A">
      <w:pPr>
        <w:pStyle w:val="NormalWeb"/>
        <w:shd w:val="clear" w:color="auto" w:fill="FFFFFF"/>
        <w:rPr>
          <w:rFonts w:ascii="Calibri" w:hAnsi="Calibri" w:cs="Calibri"/>
          <w:color w:val="242424"/>
          <w:sz w:val="22"/>
          <w:szCs w:val="22"/>
        </w:rPr>
      </w:pPr>
      <w:r>
        <w:rPr>
          <w:rFonts w:ascii="Arial" w:hAnsi="Arial" w:cs="Arial"/>
          <w:i/>
          <w:iCs/>
          <w:color w:val="242424"/>
          <w:sz w:val="18"/>
          <w:szCs w:val="18"/>
        </w:rPr>
        <w:t xml:space="preserve">Director, </w:t>
      </w:r>
      <w:proofErr w:type="gramStart"/>
      <w:r>
        <w:rPr>
          <w:rFonts w:ascii="Arial" w:hAnsi="Arial" w:cs="Arial"/>
          <w:i/>
          <w:iCs/>
          <w:color w:val="242424"/>
          <w:sz w:val="18"/>
          <w:szCs w:val="18"/>
        </w:rPr>
        <w:t>Associate Degree</w:t>
      </w:r>
      <w:proofErr w:type="gramEnd"/>
      <w:r>
        <w:rPr>
          <w:rFonts w:ascii="Arial" w:hAnsi="Arial" w:cs="Arial"/>
          <w:i/>
          <w:iCs/>
          <w:color w:val="242424"/>
          <w:sz w:val="18"/>
          <w:szCs w:val="18"/>
        </w:rPr>
        <w:t xml:space="preserve"> Nursing </w:t>
      </w:r>
    </w:p>
    <w:p w14:paraId="6E4222EF"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i/>
          <w:iCs/>
          <w:color w:val="242424"/>
          <w:sz w:val="18"/>
          <w:szCs w:val="18"/>
        </w:rPr>
        <w:t> </w:t>
      </w:r>
    </w:p>
    <w:p w14:paraId="7A43154B"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color w:val="242424"/>
          <w:sz w:val="18"/>
          <w:szCs w:val="18"/>
        </w:rPr>
        <w:t>Northwest Mississippi Community College</w:t>
      </w:r>
    </w:p>
    <w:p w14:paraId="7A94E2CA"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color w:val="242424"/>
          <w:sz w:val="18"/>
          <w:szCs w:val="18"/>
        </w:rPr>
        <w:t>Mailing: 4975 Highway 51 N.</w:t>
      </w:r>
    </w:p>
    <w:p w14:paraId="3CCD6C06"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color w:val="242424"/>
          <w:sz w:val="18"/>
          <w:szCs w:val="18"/>
        </w:rPr>
        <w:t>Physical: 101 Porter Street</w:t>
      </w:r>
    </w:p>
    <w:p w14:paraId="2FB5F9C6"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color w:val="242424"/>
          <w:sz w:val="18"/>
          <w:szCs w:val="18"/>
        </w:rPr>
        <w:t>Senatobia, Mississippi 38668</w:t>
      </w:r>
    </w:p>
    <w:p w14:paraId="733BE15D" w14:textId="77777777" w:rsidR="00B01F3A" w:rsidRDefault="00000000" w:rsidP="00B01F3A">
      <w:pPr>
        <w:pStyle w:val="NormalWeb"/>
        <w:shd w:val="clear" w:color="auto" w:fill="FFFFFF"/>
        <w:rPr>
          <w:rFonts w:ascii="Calibri" w:hAnsi="Calibri" w:cs="Calibri"/>
          <w:color w:val="242424"/>
          <w:sz w:val="22"/>
          <w:szCs w:val="22"/>
        </w:rPr>
      </w:pPr>
      <w:hyperlink r:id="rId11" w:history="1">
        <w:r w:rsidR="00B01F3A">
          <w:rPr>
            <w:rStyle w:val="Hyperlink"/>
            <w:rFonts w:ascii="Helvetica" w:hAnsi="Helvetica" w:cs="Helvetica"/>
            <w:sz w:val="18"/>
            <w:szCs w:val="18"/>
          </w:rPr>
          <w:t>lthweatt@northwestms.edu</w:t>
        </w:r>
      </w:hyperlink>
      <w:r w:rsidR="00B01F3A">
        <w:rPr>
          <w:rFonts w:ascii="Helvetica" w:hAnsi="Helvetica" w:cs="Helvetica"/>
          <w:color w:val="242424"/>
          <w:sz w:val="18"/>
          <w:szCs w:val="18"/>
        </w:rPr>
        <w:t> </w:t>
      </w:r>
    </w:p>
    <w:p w14:paraId="5B41B514" w14:textId="77777777" w:rsidR="00B01F3A" w:rsidRDefault="00B01F3A" w:rsidP="00B01F3A">
      <w:pPr>
        <w:pStyle w:val="NormalWeb"/>
        <w:shd w:val="clear" w:color="auto" w:fill="FFFFFF"/>
        <w:rPr>
          <w:rFonts w:ascii="Calibri" w:hAnsi="Calibri" w:cs="Calibri"/>
          <w:color w:val="242424"/>
          <w:sz w:val="22"/>
          <w:szCs w:val="22"/>
        </w:rPr>
      </w:pPr>
      <w:r>
        <w:rPr>
          <w:rFonts w:ascii="Helvetica" w:hAnsi="Helvetica" w:cs="Helvetica"/>
          <w:color w:val="242424"/>
          <w:sz w:val="18"/>
          <w:szCs w:val="18"/>
        </w:rPr>
        <w:lastRenderedPageBreak/>
        <w:t>(p) 662.562.3981</w:t>
      </w:r>
    </w:p>
    <w:p w14:paraId="54262BBD" w14:textId="08E09994" w:rsidR="00B01F3A" w:rsidRDefault="00000000" w:rsidP="00B01F3A">
      <w:pPr>
        <w:pStyle w:val="NormalWeb"/>
        <w:shd w:val="clear" w:color="auto" w:fill="FFFFFF"/>
      </w:pPr>
      <w:hyperlink r:id="rId12" w:history="1">
        <w:r w:rsidR="00B01F3A">
          <w:rPr>
            <w:rStyle w:val="Hyperlink"/>
            <w:rFonts w:ascii="Helvetica" w:hAnsi="Helvetica" w:cs="Helvetica"/>
            <w:sz w:val="18"/>
            <w:szCs w:val="18"/>
          </w:rPr>
          <w:t>https://www.northwestms.edu/programs/healthsciences/nursing-department</w:t>
        </w:r>
      </w:hyperlink>
    </w:p>
    <w:sectPr w:rsidR="00B0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A6E24"/>
    <w:multiLevelType w:val="hybridMultilevel"/>
    <w:tmpl w:val="528A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813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A"/>
    <w:rsid w:val="00676B24"/>
    <w:rsid w:val="00993FB5"/>
    <w:rsid w:val="00B01F3A"/>
    <w:rsid w:val="00B9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DC1F"/>
  <w15:chartTrackingRefBased/>
  <w15:docId w15:val="{E1C46C8C-CCFC-4985-AE72-A3184E0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A"/>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B01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F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F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F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F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F3A"/>
    <w:rPr>
      <w:rFonts w:eastAsiaTheme="majorEastAsia" w:cstheme="majorBidi"/>
      <w:color w:val="272727" w:themeColor="text1" w:themeTint="D8"/>
    </w:rPr>
  </w:style>
  <w:style w:type="paragraph" w:styleId="Title">
    <w:name w:val="Title"/>
    <w:basedOn w:val="Normal"/>
    <w:next w:val="Normal"/>
    <w:link w:val="TitleChar"/>
    <w:uiPriority w:val="10"/>
    <w:qFormat/>
    <w:rsid w:val="00B01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F3A"/>
    <w:pPr>
      <w:spacing w:before="160"/>
      <w:jc w:val="center"/>
    </w:pPr>
    <w:rPr>
      <w:i/>
      <w:iCs/>
      <w:color w:val="404040" w:themeColor="text1" w:themeTint="BF"/>
    </w:rPr>
  </w:style>
  <w:style w:type="character" w:customStyle="1" w:styleId="QuoteChar">
    <w:name w:val="Quote Char"/>
    <w:basedOn w:val="DefaultParagraphFont"/>
    <w:link w:val="Quote"/>
    <w:uiPriority w:val="29"/>
    <w:rsid w:val="00B01F3A"/>
    <w:rPr>
      <w:i/>
      <w:iCs/>
      <w:color w:val="404040" w:themeColor="text1" w:themeTint="BF"/>
    </w:rPr>
  </w:style>
  <w:style w:type="paragraph" w:styleId="ListParagraph">
    <w:name w:val="List Paragraph"/>
    <w:basedOn w:val="Normal"/>
    <w:uiPriority w:val="34"/>
    <w:qFormat/>
    <w:rsid w:val="00B01F3A"/>
    <w:pPr>
      <w:ind w:left="720"/>
      <w:contextualSpacing/>
    </w:pPr>
  </w:style>
  <w:style w:type="character" w:styleId="IntenseEmphasis">
    <w:name w:val="Intense Emphasis"/>
    <w:basedOn w:val="DefaultParagraphFont"/>
    <w:uiPriority w:val="21"/>
    <w:qFormat/>
    <w:rsid w:val="00B01F3A"/>
    <w:rPr>
      <w:i/>
      <w:iCs/>
      <w:color w:val="0F4761" w:themeColor="accent1" w:themeShade="BF"/>
    </w:rPr>
  </w:style>
  <w:style w:type="paragraph" w:styleId="IntenseQuote">
    <w:name w:val="Intense Quote"/>
    <w:basedOn w:val="Normal"/>
    <w:next w:val="Normal"/>
    <w:link w:val="IntenseQuoteChar"/>
    <w:uiPriority w:val="30"/>
    <w:qFormat/>
    <w:rsid w:val="00B01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F3A"/>
    <w:rPr>
      <w:i/>
      <w:iCs/>
      <w:color w:val="0F4761" w:themeColor="accent1" w:themeShade="BF"/>
    </w:rPr>
  </w:style>
  <w:style w:type="character" w:styleId="IntenseReference">
    <w:name w:val="Intense Reference"/>
    <w:basedOn w:val="DefaultParagraphFont"/>
    <w:uiPriority w:val="32"/>
    <w:qFormat/>
    <w:rsid w:val="00B01F3A"/>
    <w:rPr>
      <w:b/>
      <w:bCs/>
      <w:smallCaps/>
      <w:color w:val="0F4761" w:themeColor="accent1" w:themeShade="BF"/>
      <w:spacing w:val="5"/>
    </w:rPr>
  </w:style>
  <w:style w:type="character" w:styleId="Hyperlink">
    <w:name w:val="Hyperlink"/>
    <w:basedOn w:val="DefaultParagraphFont"/>
    <w:uiPriority w:val="99"/>
    <w:semiHidden/>
    <w:unhideWhenUsed/>
    <w:rsid w:val="00B01F3A"/>
    <w:rPr>
      <w:color w:val="0000FF"/>
      <w:u w:val="single"/>
    </w:rPr>
  </w:style>
  <w:style w:type="paragraph" w:styleId="NormalWeb">
    <w:name w:val="Normal (Web)"/>
    <w:basedOn w:val="Normal"/>
    <w:uiPriority w:val="99"/>
    <w:unhideWhenUsed/>
    <w:rsid w:val="00B01F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ssippi.edu/nursing/downloads/procedure_manual_2311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owell@mhanet.org" TargetMode="External"/><Relationship Id="rId12" Type="http://schemas.openxmlformats.org/officeDocument/2006/relationships/hyperlink" Target="https://www.northwestms.edu/programs/healthsciences/nursing-depar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Thweatt@Northwestms.edu" TargetMode="External"/><Relationship Id="rId11" Type="http://schemas.openxmlformats.org/officeDocument/2006/relationships/hyperlink" Target="mailto:lthweatt@northwestms.edu" TargetMode="External"/><Relationship Id="rId5" Type="http://schemas.openxmlformats.org/officeDocument/2006/relationships/image" Target="media/image1.gif"/><Relationship Id="rId10" Type="http://schemas.openxmlformats.org/officeDocument/2006/relationships/image" Target="cid:46467408-f200-46cb-96d1-91777fee0d9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Powell</dc:creator>
  <cp:keywords/>
  <dc:description/>
  <cp:lastModifiedBy>Nikki McIntyre</cp:lastModifiedBy>
  <cp:revision>2</cp:revision>
  <dcterms:created xsi:type="dcterms:W3CDTF">2024-06-12T16:03:00Z</dcterms:created>
  <dcterms:modified xsi:type="dcterms:W3CDTF">2024-06-12T16:03:00Z</dcterms:modified>
</cp:coreProperties>
</file>